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12" w:rsidRPr="00C133E1" w:rsidRDefault="00465627" w:rsidP="005A6096">
      <w:pPr>
        <w:spacing w:after="0" w:line="240" w:lineRule="auto"/>
        <w:rPr>
          <w:b/>
          <w:color w:val="76923C" w:themeColor="accent3" w:themeShade="BF"/>
          <w:sz w:val="24"/>
          <w:szCs w:val="24"/>
        </w:rPr>
      </w:pPr>
      <w:r>
        <w:rPr>
          <w:b/>
          <w:noProof/>
          <w:color w:val="76923C" w:themeColor="accent3" w:themeShade="BF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-207645</wp:posOffset>
            </wp:positionV>
            <wp:extent cx="1417320" cy="1500505"/>
            <wp:effectExtent l="0" t="0" r="0" b="0"/>
            <wp:wrapSquare wrapText="bothSides"/>
            <wp:docPr id="8" name="Picture 7" descr="Sleaford REP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aford REP logo 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6923C" w:themeColor="accent3" w:themeShade="BF"/>
          <w:sz w:val="24"/>
          <w:szCs w:val="24"/>
        </w:rPr>
        <w:t xml:space="preserve">     </w:t>
      </w:r>
    </w:p>
    <w:p w:rsidR="00C30C12" w:rsidRPr="00C30C12" w:rsidRDefault="00C30C12" w:rsidP="00C133E1">
      <w:pPr>
        <w:jc w:val="center"/>
        <w:rPr>
          <w:b/>
          <w:color w:val="76923C" w:themeColor="accent3" w:themeShade="BF"/>
        </w:rPr>
      </w:pPr>
    </w:p>
    <w:p w:rsidR="00C30C12" w:rsidRPr="005A6096" w:rsidRDefault="00C30C12" w:rsidP="00C30C12">
      <w:pPr>
        <w:jc w:val="center"/>
        <w:rPr>
          <w:b/>
          <w:color w:val="E36C0A" w:themeColor="accent6" w:themeShade="BF"/>
          <w:sz w:val="72"/>
          <w:szCs w:val="72"/>
        </w:rPr>
      </w:pPr>
    </w:p>
    <w:p w:rsidR="00C30C12" w:rsidRPr="005F3125" w:rsidRDefault="005A6096" w:rsidP="00C30C12">
      <w:pPr>
        <w:rPr>
          <w:b/>
        </w:rPr>
      </w:pPr>
      <w:r>
        <w:rPr>
          <w:b/>
          <w:noProof/>
          <w:color w:val="76923C" w:themeColor="accent3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45720</wp:posOffset>
                </wp:positionV>
                <wp:extent cx="6572250" cy="0"/>
                <wp:effectExtent l="19050" t="17145" r="1905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2.25pt;margin-top:3.6pt;width:51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" strokecolor="#f79646 [3209]" strokeweight="2.25pt">
                <v:shadow color="#974706 [1609]" offset="1pt"/>
              </v:shape>
            </w:pict>
          </mc:Fallback>
        </mc:AlternateContent>
      </w:r>
    </w:p>
    <w:p w:rsidR="00DD18C2" w:rsidRDefault="00FD28F3" w:rsidP="00DD18C2">
      <w:pPr>
        <w:rPr>
          <w:b/>
        </w:rPr>
      </w:pPr>
      <w:r>
        <w:rPr>
          <w:b/>
        </w:rPr>
        <w:t>9</w:t>
      </w:r>
      <w:r w:rsidRPr="00FD28F3">
        <w:rPr>
          <w:b/>
          <w:vertAlign w:val="superscript"/>
        </w:rPr>
        <w:t>th</w:t>
      </w:r>
      <w:r>
        <w:rPr>
          <w:b/>
        </w:rPr>
        <w:t xml:space="preserve"> </w:t>
      </w:r>
      <w:r w:rsidR="00DD18C2">
        <w:rPr>
          <w:b/>
        </w:rPr>
        <w:t>November 201</w:t>
      </w:r>
      <w:r>
        <w:rPr>
          <w:b/>
        </w:rPr>
        <w:t>5</w:t>
      </w:r>
    </w:p>
    <w:p w:rsidR="00DD18C2" w:rsidRPr="00B47EFE" w:rsidRDefault="00DD18C2" w:rsidP="00DD18C2">
      <w:pPr>
        <w:rPr>
          <w:b/>
        </w:rPr>
      </w:pPr>
      <w:r w:rsidRPr="00B47EFE">
        <w:rPr>
          <w:b/>
        </w:rPr>
        <w:t>Sleaford Renewable Energy Plant: Christmas operations</w:t>
      </w:r>
    </w:p>
    <w:p w:rsidR="00DD18C2" w:rsidRDefault="004A3A5A" w:rsidP="00DD18C2">
      <w:pPr>
        <w:jc w:val="both"/>
      </w:pPr>
      <w:r>
        <w:t xml:space="preserve">The </w:t>
      </w:r>
      <w:r w:rsidR="00DD18C2">
        <w:t>plant will take deliveries of straw in the days running</w:t>
      </w:r>
      <w:r w:rsidR="00964249">
        <w:t xml:space="preserve"> </w:t>
      </w:r>
      <w:r w:rsidR="00DD18C2">
        <w:t xml:space="preserve">up to Christmas, including Christmas Eve, which is a normal working day. However, given how the </w:t>
      </w:r>
      <w:r w:rsidR="008E14D4">
        <w:t xml:space="preserve">Christmas </w:t>
      </w:r>
      <w:r w:rsidR="00DD18C2">
        <w:t xml:space="preserve">holiday period falls this year, we have obtained special permission from North </w:t>
      </w:r>
      <w:proofErr w:type="spellStart"/>
      <w:r w:rsidR="00DD18C2">
        <w:t>Kesteven</w:t>
      </w:r>
      <w:proofErr w:type="spellEnd"/>
      <w:r w:rsidR="00DD18C2">
        <w:t xml:space="preserve"> District Council to allow us to deliver straw to the plant (and remove ash) on Monday, December 28</w:t>
      </w:r>
      <w:r w:rsidR="00DD18C2" w:rsidRPr="00DA2AFE">
        <w:rPr>
          <w:vertAlign w:val="superscript"/>
        </w:rPr>
        <w:t>th</w:t>
      </w:r>
      <w:r w:rsidR="00DD18C2">
        <w:t xml:space="preserve"> which this year is a public holiday.</w:t>
      </w:r>
    </w:p>
    <w:p w:rsidR="00DD18C2" w:rsidRDefault="00DD18C2" w:rsidP="00DD18C2">
      <w:pPr>
        <w:jc w:val="both"/>
      </w:pPr>
      <w:r>
        <w:t xml:space="preserve">Our planning condition from North </w:t>
      </w:r>
      <w:proofErr w:type="spellStart"/>
      <w:r>
        <w:t>Kesteven</w:t>
      </w:r>
      <w:proofErr w:type="spellEnd"/>
      <w:r>
        <w:t xml:space="preserve"> District Council states that n</w:t>
      </w:r>
      <w:r w:rsidRPr="00EA4DC4">
        <w:t xml:space="preserve">o deliveries to or collections from the </w:t>
      </w:r>
      <w:r>
        <w:t xml:space="preserve">plant should take place outside normal working hours (Monday to Saturday) </w:t>
      </w:r>
      <w:r w:rsidRPr="00EA4DC4">
        <w:t>and at no times on Sundays or Bank Holidays.</w:t>
      </w:r>
      <w:r>
        <w:t xml:space="preserve">  Given that Christmas Day this year falls on a Friday, we were faced with a </w:t>
      </w:r>
      <w:r w:rsidRPr="00270B0C">
        <w:t>four day break in deliveries and only three days’ worth of storage capacity</w:t>
      </w:r>
      <w:r>
        <w:t>, with no deliveries or collections being permitted until Tuesday, December 29</w:t>
      </w:r>
      <w:r w:rsidRPr="00EA4DC4">
        <w:rPr>
          <w:vertAlign w:val="superscript"/>
        </w:rPr>
        <w:t>th</w:t>
      </w:r>
      <w:r>
        <w:t xml:space="preserve">.   </w:t>
      </w:r>
    </w:p>
    <w:p w:rsidR="00DD18C2" w:rsidRDefault="00DD18C2" w:rsidP="00DD18C2">
      <w:pPr>
        <w:jc w:val="both"/>
      </w:pPr>
      <w:r>
        <w:t xml:space="preserve">As winter is a particular time when National Grid requires power stations, such as the Sleaford Renewable Energy Plant, to be available to generate electricity, North </w:t>
      </w:r>
      <w:proofErr w:type="spellStart"/>
      <w:r>
        <w:t>Kesteven</w:t>
      </w:r>
      <w:proofErr w:type="spellEnd"/>
      <w:r>
        <w:t xml:space="preserve"> District Council </w:t>
      </w:r>
      <w:r w:rsidR="00964249">
        <w:t xml:space="preserve">has </w:t>
      </w:r>
      <w:r>
        <w:t>permitted us to deliver straw and collect ash on Monday, December 28</w:t>
      </w:r>
      <w:r w:rsidRPr="00EA4DC4">
        <w:rPr>
          <w:vertAlign w:val="superscript"/>
        </w:rPr>
        <w:t>th</w:t>
      </w:r>
      <w:r>
        <w:t xml:space="preserve"> (between 7.00am and 7.00pm – our standard hours) so that we can maintain normal operations.  Rest assured the Council’s permission </w:t>
      </w:r>
      <w:r w:rsidR="008E14D4">
        <w:t xml:space="preserve">for us </w:t>
      </w:r>
      <w:r>
        <w:t xml:space="preserve">to do this is an exceptional circumstance.  </w:t>
      </w:r>
    </w:p>
    <w:p w:rsidR="00DD18C2" w:rsidRDefault="00DD18C2" w:rsidP="00DD18C2">
      <w:pPr>
        <w:jc w:val="both"/>
      </w:pPr>
      <w:r>
        <w:t>Our deliveries over the Christmas and New Year Period are therefore as follows:</w:t>
      </w:r>
    </w:p>
    <w:tbl>
      <w:tblPr>
        <w:tblW w:w="6473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949"/>
        <w:gridCol w:w="2126"/>
        <w:gridCol w:w="1120"/>
      </w:tblGrid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b/>
                <w:color w:val="000000"/>
              </w:rPr>
            </w:pPr>
            <w:r w:rsidRPr="004A3A5A">
              <w:rPr>
                <w:b/>
                <w:color w:val="000000"/>
              </w:rPr>
              <w:t>Date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b/>
                <w:color w:val="000000"/>
              </w:rPr>
            </w:pPr>
            <w:r w:rsidRPr="004A3A5A">
              <w:rPr>
                <w:b/>
                <w:color w:val="000000"/>
              </w:rPr>
              <w:t>Week 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b/>
                <w:color w:val="000000"/>
              </w:rPr>
            </w:pPr>
            <w:r w:rsidRPr="004A3A5A">
              <w:rPr>
                <w:b/>
                <w:color w:val="000000"/>
              </w:rPr>
              <w:t>Status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b/>
                <w:color w:val="000000"/>
              </w:rPr>
            </w:pPr>
            <w:r w:rsidRPr="004A3A5A">
              <w:rPr>
                <w:b/>
                <w:color w:val="000000"/>
              </w:rPr>
              <w:t>Deliveries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21/12/2015 to 24/12/2015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DD18C2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Mon to Thursday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1E0552" w:rsidP="001E0552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25/12/2015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Friday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Christmas 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N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26/12/2015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DD18C2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Saturday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Boxing 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N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27/12/2015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Sunday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Sunday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N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28/12/2015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Monday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Holiday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29/12/2015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Tuesday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1E0552" w:rsidP="004B546A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30/12/2015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Wednesday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1E0552" w:rsidP="004B546A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31/12/2015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Thursday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1E0552" w:rsidP="004B546A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1/01/2016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Friday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rFonts w:eastAsia="Times New Roman"/>
                <w:color w:val="FF0000"/>
              </w:rPr>
            </w:pPr>
            <w:r w:rsidRPr="004A3A5A">
              <w:rPr>
                <w:rFonts w:eastAsia="Times New Roman"/>
                <w:color w:val="FF0000"/>
              </w:rPr>
              <w:t>Holiday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N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lastRenderedPageBreak/>
              <w:t>2/01/2016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DD18C2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Saturday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1E0552" w:rsidP="004B546A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3/01/2016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DD18C2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Sunday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rFonts w:eastAsia="Times New Roman"/>
                <w:color w:val="FF0000"/>
              </w:rPr>
            </w:pPr>
            <w:r w:rsidRPr="004A3A5A">
              <w:rPr>
                <w:rFonts w:eastAsia="Times New Roman"/>
                <w:color w:val="FF0000"/>
              </w:rPr>
              <w:t>Sunday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8C2" w:rsidRPr="004A3A5A" w:rsidRDefault="00DD18C2" w:rsidP="004B546A">
            <w:pPr>
              <w:jc w:val="both"/>
              <w:rPr>
                <w:color w:val="FF0000"/>
              </w:rPr>
            </w:pPr>
            <w:r w:rsidRPr="004A3A5A">
              <w:rPr>
                <w:color w:val="FF0000"/>
              </w:rPr>
              <w:t>N</w:t>
            </w:r>
          </w:p>
        </w:tc>
      </w:tr>
      <w:tr w:rsidR="00DD18C2" w:rsidRPr="004A3A5A" w:rsidTr="00964249">
        <w:trPr>
          <w:trHeight w:val="57"/>
        </w:trPr>
        <w:tc>
          <w:tcPr>
            <w:tcW w:w="1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4/01/2016</w:t>
            </w:r>
          </w:p>
        </w:tc>
        <w:tc>
          <w:tcPr>
            <w:tcW w:w="19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Monday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1E0552" w:rsidP="004B546A">
            <w:pPr>
              <w:jc w:val="both"/>
              <w:rPr>
                <w:rFonts w:eastAsia="Times New Roman"/>
              </w:rPr>
            </w:pPr>
            <w:r w:rsidRPr="004A3A5A">
              <w:rPr>
                <w:rFonts w:eastAsia="Times New Roman"/>
              </w:rPr>
              <w:t>Normal operations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8C2" w:rsidRPr="004A3A5A" w:rsidRDefault="00DD18C2" w:rsidP="004B546A">
            <w:pPr>
              <w:jc w:val="both"/>
              <w:rPr>
                <w:color w:val="000000"/>
              </w:rPr>
            </w:pPr>
            <w:r w:rsidRPr="004A3A5A">
              <w:rPr>
                <w:color w:val="000000"/>
              </w:rPr>
              <w:t>Y</w:t>
            </w:r>
          </w:p>
        </w:tc>
      </w:tr>
    </w:tbl>
    <w:p w:rsidR="00DD18C2" w:rsidRPr="004A3A5A" w:rsidRDefault="00DD18C2" w:rsidP="00DD18C2">
      <w:pPr>
        <w:jc w:val="both"/>
      </w:pPr>
    </w:p>
    <w:p w:rsidR="00D34C3D" w:rsidRDefault="00DD18C2" w:rsidP="004A3A5A">
      <w:pPr>
        <w:jc w:val="both"/>
        <w:rPr>
          <w:b/>
          <w:color w:val="76923C" w:themeColor="accent3" w:themeShade="BF"/>
        </w:rPr>
      </w:pPr>
      <w:r>
        <w:t xml:space="preserve">If you have any questions about this matter, please get in touch with </w:t>
      </w:r>
      <w:r w:rsidR="004A3A5A">
        <w:t xml:space="preserve">us via </w:t>
      </w:r>
      <w:hyperlink r:id="rId7" w:history="1">
        <w:r w:rsidR="004A3A5A" w:rsidRPr="008570BA">
          <w:rPr>
            <w:rStyle w:val="Hyperlink"/>
          </w:rPr>
          <w:t>info@sleafordrep.co</w:t>
        </w:r>
        <w:r w:rsidR="004A3A5A">
          <w:rPr>
            <w:rStyle w:val="Hyperlink"/>
          </w:rPr>
          <w:t>.uk</w:t>
        </w:r>
      </w:hyperlink>
      <w:bookmarkStart w:id="0" w:name="_GoBack"/>
      <w:bookmarkEnd w:id="0"/>
      <w:r w:rsidR="004A3A5A">
        <w:t xml:space="preserve"> / 01529 411866.</w:t>
      </w:r>
      <w:r w:rsidR="004A3A5A">
        <w:rPr>
          <w:b/>
          <w:color w:val="76923C" w:themeColor="accent3" w:themeShade="BF"/>
        </w:rPr>
        <w:t xml:space="preserve"> </w:t>
      </w: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D34C3D" w:rsidRDefault="00D34C3D" w:rsidP="00C30C12">
      <w:pPr>
        <w:rPr>
          <w:b/>
          <w:color w:val="76923C" w:themeColor="accent3" w:themeShade="BF"/>
        </w:rPr>
      </w:pPr>
    </w:p>
    <w:p w:rsidR="005A7FDC" w:rsidRPr="00C30C12" w:rsidRDefault="005A7FDC" w:rsidP="00C30C12">
      <w:pPr>
        <w:rPr>
          <w:b/>
          <w:color w:val="76923C" w:themeColor="accent3" w:themeShade="BF"/>
          <w:sz w:val="20"/>
          <w:szCs w:val="20"/>
        </w:rPr>
      </w:pPr>
    </w:p>
    <w:sectPr w:rsidR="005A7FDC" w:rsidRPr="00C30C12" w:rsidSect="00465627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690"/>
    <w:multiLevelType w:val="hybridMultilevel"/>
    <w:tmpl w:val="A006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5"/>
    <w:rsid w:val="00066D44"/>
    <w:rsid w:val="000E1382"/>
    <w:rsid w:val="001E0552"/>
    <w:rsid w:val="00251740"/>
    <w:rsid w:val="00465627"/>
    <w:rsid w:val="004A3A5A"/>
    <w:rsid w:val="005167C7"/>
    <w:rsid w:val="005A6096"/>
    <w:rsid w:val="005A7FDC"/>
    <w:rsid w:val="005F3125"/>
    <w:rsid w:val="00725A58"/>
    <w:rsid w:val="008E14D4"/>
    <w:rsid w:val="00964249"/>
    <w:rsid w:val="00B256E3"/>
    <w:rsid w:val="00C133E1"/>
    <w:rsid w:val="00C30C12"/>
    <w:rsid w:val="00C638AB"/>
    <w:rsid w:val="00CA60F8"/>
    <w:rsid w:val="00D34C3D"/>
    <w:rsid w:val="00DD18C2"/>
    <w:rsid w:val="00FA340A"/>
    <w:rsid w:val="00FA77F5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C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C1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3125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5F3125"/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C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C1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3125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5F3125"/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leafordrep.co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gnyte\Shared\Documents\Sleaford%20REP\Sleaford%20REP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Sleaford REP Press Release.dotx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Keogh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Paul Taylor</cp:lastModifiedBy>
  <cp:revision>2</cp:revision>
  <cp:lastPrinted>2015-11-09T10:43:00Z</cp:lastPrinted>
  <dcterms:created xsi:type="dcterms:W3CDTF">2015-11-09T11:05:00Z</dcterms:created>
  <dcterms:modified xsi:type="dcterms:W3CDTF">2015-11-09T11:05:00Z</dcterms:modified>
</cp:coreProperties>
</file>